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DE9CD">
      <w:pPr>
        <w:shd w:val="clear" w:color="auto" w:fill="FFFFFF"/>
        <w:tabs>
          <w:tab w:val="left" w:pos="5940"/>
        </w:tabs>
        <w:spacing w:before="180" w:after="0" w:line="240" w:lineRule="auto"/>
        <w:jc w:val="center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ДОГОВОР ПОДРЯДА НА СТРОИТЕЛЬСТВО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ИЗ ЖЕЛЕЗОБЕТОННЫХ КОЛЕЦ №</w:t>
      </w:r>
    </w:p>
    <w:p w14:paraId="648F2D23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DDC3B70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р.п. Заокский «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 xml:space="preserve">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2025 г.</w:t>
      </w:r>
    </w:p>
    <w:p w14:paraId="6BF724B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FA598AD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Индивидуальный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предприниматель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Агишева Марьям Хайрулловна,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действующая на основании Свидетельства о государственной регистрации в качестве ИП                           (ОГРНИП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),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именуемая в дальнейшем «Подрядчик», с одной стороны, и Гражданин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,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именуемый в дальнейшем «Заказчик», с другой стороны, заключили настоящий Договор о нижеследующем:</w:t>
      </w:r>
    </w:p>
    <w:p w14:paraId="22E1718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E37D4A6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67232B7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1.1. Заказчик поручает, а Подрядчик принимает на себя обязательство выполнить работы по устройству септика из железобетонных колец (далее – «Работы») по адресу: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        </w:t>
      </w:r>
    </w:p>
    <w:p w14:paraId="6467F853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с правом досрочного завершения Работ.</w:t>
      </w:r>
    </w:p>
    <w:p w14:paraId="64ED7F93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30EF6F6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1.2.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                                 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состоит из:</w:t>
      </w:r>
    </w:p>
    <w:p w14:paraId="1559858E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1.2.1.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A97E883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1.2.2.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03C6654A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1.2.3.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052BCEF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1.2.4.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1D0F458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7DDED33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1.3. Сроки выполнения Работ:</w:t>
      </w:r>
    </w:p>
    <w:p w14:paraId="57C23556">
      <w:pPr>
        <w:numPr>
          <w:ilvl w:val="0"/>
          <w:numId w:val="1"/>
        </w:numPr>
        <w:shd w:val="clear" w:color="auto" w:fill="FFFFFF"/>
        <w:tabs>
          <w:tab w:val="left" w:pos="5940"/>
          <w:tab w:val="clear" w:pos="420"/>
        </w:tabs>
        <w:spacing w:before="180"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Начало Работ: «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 xml:space="preserve">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2025 г.</w:t>
      </w:r>
    </w:p>
    <w:p w14:paraId="606CD4E0">
      <w:pPr>
        <w:numPr>
          <w:ilvl w:val="0"/>
          <w:numId w:val="1"/>
        </w:numPr>
        <w:shd w:val="clear" w:color="auto" w:fill="FFFFFF"/>
        <w:tabs>
          <w:tab w:val="left" w:pos="5940"/>
          <w:tab w:val="clear" w:pos="420"/>
        </w:tabs>
        <w:spacing w:before="180"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Окончание Работ: «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 xml:space="preserve">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2025 г.</w:t>
      </w:r>
    </w:p>
    <w:p w14:paraId="248A4442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Сроки выполнения Работ могут быть изменены по независящим от Подрядчика причинам, в связи с геологическими или погодными условиями, а также иными обстоятельствами непреодолимой силы, предусмотренными разделом 3 настоящего Договора.</w:t>
      </w:r>
    </w:p>
    <w:p w14:paraId="63F094DA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542770D9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2. Обязанности Сторон</w:t>
      </w:r>
    </w:p>
    <w:p w14:paraId="04A2C6F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2.1. Обязанности Подрядчика:</w:t>
      </w:r>
    </w:p>
    <w:p w14:paraId="2579B81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2.1.1. Обеспечить доставку и разгрузку необходимых строительных материалов на объект Заказчика.</w:t>
      </w:r>
    </w:p>
    <w:p w14:paraId="7298DD8D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2.1.2. Своевременно и качественно выполнить Работы, предусмотренные настоящим Договором.</w:t>
      </w:r>
    </w:p>
    <w:p w14:paraId="3B5C3AE9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2.1.3. Своевременно извещать Заказчика об обстоятельствах, препятствующих исполнению обязательств Подрядчика согласно настоящему Договору, в том числе о наступлении форс-мажорных обстоятельств.</w:t>
      </w:r>
    </w:p>
    <w:p w14:paraId="0C994C98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2.2. Обязанности Заказчика:</w:t>
      </w:r>
    </w:p>
    <w:p w14:paraId="299CE456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2.2.1. Обеспечить доступ Подрядчика к месту проведения Работ, а также к необходимым коммуникациям (при наличии).</w:t>
      </w:r>
    </w:p>
    <w:p w14:paraId="6C300248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2.2.2. После доставки и разгрузки материалов, а также по окончании Работ, принять выполненные Подрядчиком Работы с подписанием Акта сдачи-приёмки выполненных работ.</w:t>
      </w:r>
    </w:p>
    <w:p w14:paraId="4E5A9C70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2.2.3. Своевременно оплатить Работы и доставленные материалы согласно условиям раздела 4 настоящего Договора.</w:t>
      </w:r>
    </w:p>
    <w:p w14:paraId="288A25C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2.2.4. Оплатить фактически выполненные Работы в случаях досрочного прекращения Договора по обстоятельствам, указанным в разделе 3 настоящего Договора.</w:t>
      </w:r>
    </w:p>
    <w:p w14:paraId="6C1CDC90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6FB9F68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3. Форс-мажорные обстоятельства</w:t>
      </w:r>
    </w:p>
    <w:p w14:paraId="529E5E43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3.1.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 (форс-мажор).</w:t>
      </w:r>
    </w:p>
    <w:p w14:paraId="0DB0F009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3.2. К обстоятельствам непреодолимой силы, помимо общепринятых, относятся:</w:t>
      </w:r>
    </w:p>
    <w:p w14:paraId="595D031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3.2.1. Погодные условия: затяжные дожди или сильные снегопады, делающие невозможным или крайне затрудняющим проведение земляных и монтажных работ.</w:t>
      </w:r>
    </w:p>
    <w:p w14:paraId="4B5DFAF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3.2.2. Геологические условия: обнаружение крупнообломочных пород, валунов с размерами свыше 80 см, гранитных, базальтовых, доломитовых или известковых плит; плавунов мощностью свыше 1 метра, а также приток воды в котлован свыше 200 л/час.</w:t>
      </w:r>
    </w:p>
    <w:p w14:paraId="4F34CDDC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3.3. При наступлении указанных обстоятельств срок выполнения Работ может быть продлён соразмерно действию этих обстоятельств, а стоимость Работ может быть пересмотрена в соответствии с п. 4.3 настоящего Договора. Сторона, для которой создалась невозможность исполнения обязательств, обязана немедленно, но не позднее 24 часов, уведомить другую Сторону о наступлении и прекращении таких обстоятельств.</w:t>
      </w:r>
    </w:p>
    <w:p w14:paraId="217EE0D2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2BB19152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4. Порядок расчётов</w:t>
      </w:r>
    </w:p>
    <w:p w14:paraId="0C1B22E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eastAsia="ru-RU"/>
        </w:rPr>
        <w:t>4.1. Договором предусматривается раздельная оплата этапов Работ</w:t>
      </w: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eastAsia="ru-RU"/>
        </w:rPr>
        <w:t>путём перечисления денежных средств на расчётный счёт Подрядчика или наличными денежными средствами с выдачей Подрядчиком соответствующего чека:</w:t>
      </w:r>
    </w:p>
    <w:p w14:paraId="0BF73F1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4.1.2.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Доставка и разгрузка строительных материалов оплачивается Заказчиком в день доставки</w:t>
      </w:r>
    </w:p>
    <w:p w14:paraId="6600E1D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4.1.3.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Земляные и монтажные работы оплачиваются Заказчиком после их окончания и подписания Акта сдачи-приёмки выполненных работ.</w:t>
      </w:r>
    </w:p>
    <w:p w14:paraId="65C04E5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4.2. Стоимость строительных материалов, доставленных Подрядчиком, является окончательной и не подлежит пересмотру Заказчиком. Заказчик не вправе требовать компенсации за неиспользованные материалы, если их количество соответствует проектной документации или было предварительно согласовано Сторонами.</w:t>
      </w:r>
    </w:p>
    <w:p w14:paraId="5A0A915C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4.3. В случае обнаружения в процессе выполнения земляных работ грунтов, указанных в п. 3.2.2 настоящего Договора, Подрядчик обязан незамедлительно уведомить Заказчика о таких обстоятельствах (устно и/или по телефону с последующим письменным подтверждением). Стоимость земляных работ по их разработке увеличивается с применением коэффициента 2 (два) к базовой стоимости таких работ. </w:t>
      </w:r>
    </w:p>
    <w:p w14:paraId="4D1A2FB4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Заказчик обязан в течение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1 рабочего дня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с момента уведомления принять решение о продолжении работ на новых условиях или их приостановлении. Изменение стоимости оформляется дополнительным соглашением или отдельным пунктом в Акте сдачи-приёмки выполненных работ.</w:t>
      </w:r>
    </w:p>
    <w:p w14:paraId="527727F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4.4. Предварительная общая стоимость Работ по настоящему Договору составляет: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  </w:t>
      </w:r>
    </w:p>
    <w:p w14:paraId="7F4E78CD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                                                                                                                                 </w:t>
      </w:r>
    </w:p>
    <w:p w14:paraId="55AA44BA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4.5. Окончательная стоимость Работ формируется на основании фактически произведённых объемов работ и может быть скорректирована в соответствии с п. 4.3 настоящего Договора. Окончательная стоимость фиксируется в Акте сдачи-приемки выполненных работ.</w:t>
      </w:r>
    </w:p>
    <w:p w14:paraId="5E62167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4.6. Подрядчик применяет упрощенную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систему налогообложения Доходы 6%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и не является плательщиком НДС.</w:t>
      </w:r>
    </w:p>
    <w:p w14:paraId="68D29430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2218DB8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5. Гарантии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 xml:space="preserve"> качества Работ</w:t>
      </w:r>
    </w:p>
    <w:p w14:paraId="1B927086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5.1. Подрядчик гарантирует качество выполненных Работ в соответствии с требованиями настоящего Договора и действующими строительными нормами и правилами.</w:t>
      </w:r>
    </w:p>
    <w:p w14:paraId="2F50685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5.2. Гарантийный срок на выполненные Работы составляет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со дня подписания Акта сдачи-приёмки выполненных работ.</w:t>
      </w:r>
    </w:p>
    <w:p w14:paraId="4ABF4AEA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5.3. Гарантия распространяется на дефекты, возникшие по вине Подрядчика в результате некачественного выполнения Работ.</w:t>
      </w:r>
    </w:p>
    <w:p w14:paraId="297831F0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eastAsia="ru-RU"/>
        </w:rPr>
        <w:t>5.4. Гарантия не распространяется на:</w:t>
      </w:r>
    </w:p>
    <w:p w14:paraId="1E5B849D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5.4.1.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Дефекты, возникшие вследствие естественного износа или неправильной эксплуатации Заказчиком.</w:t>
      </w:r>
    </w:p>
    <w:p w14:paraId="1E0B4265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5.4.2.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Повреждения, вызванные действиями третьих лиц или обстоятельствами непреодолимой силы.</w:t>
      </w:r>
    </w:p>
    <w:p w14:paraId="6ACAABE6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5.4.3.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Дефекты, возникшие после вмешательства Заказчика или третьих лиц в конструкцию без согласования с Подрядчиком.</w:t>
      </w:r>
    </w:p>
    <w:p w14:paraId="21B83175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5.5. В случае обнаружения дефектов в течение гарантийного срока Заказчик обязан письменно уведомить Подрядчика. Подрядчик обязуется устранить обоснованные дефекты за свой счёт в разумный срок, согласованный Сторонами.</w:t>
      </w:r>
    </w:p>
    <w:p w14:paraId="22B99CF6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5.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. Все изменения и дополнения к настоящему Договору действительны, если они оформлены в письменной форме и подписаны обеими Сторонами.</w:t>
      </w:r>
    </w:p>
    <w:p w14:paraId="46E13CEE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5.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7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. Заказчик обязуется обеспечить соблюдение правил безопасности на объекте, в том числе исключить нахождение посторонних лиц в непосредственной близости от места проведения земляных и монтажных работ, а также не отвлекать работников Подрядчика от выполнения их обязанностей.</w:t>
      </w:r>
    </w:p>
    <w:p w14:paraId="018F85E6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C3BDC4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6. Ответственность Сторон</w:t>
      </w:r>
    </w:p>
    <w:p w14:paraId="503D96E5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05BA425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6.2. В случае просрочки выполнения Работ по вине Подрядчика, Подрядчик уплачивает Заказчику пеню в размере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0,1%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от стоимости невыполненных работ за каждый день просрочки, но не более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10%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.</w:t>
      </w:r>
    </w:p>
    <w:p w14:paraId="116C86BF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6.3. В случае просрочки оплаты Заказчиком выполненных Работ или материалов, Заказчик уплачивает Подрядчику пеню в размере 0,1% от суммы просроченного платежа за каждый день просрочки.</w:t>
      </w:r>
    </w:p>
    <w:p w14:paraId="17989B19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6.4. Подрядчик не несёт ответственности за косвенные убытки Заказчика, упущенную выгоду или иные непрямые потери, возникшие в связи с выполнением или невыполнением Работ по настоящему Договору.</w:t>
      </w:r>
    </w:p>
    <w:p w14:paraId="455FBC6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</w:pPr>
    </w:p>
    <w:p w14:paraId="03F41662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7. Порядок сдачи-приемки Работ</w:t>
      </w:r>
    </w:p>
    <w:p w14:paraId="43269BE1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  <w:t>7.1. По завершении Работ Подрядчик уведомляет Заказчика о готовности к сдаче-приёмке и представляет Акт сдачи-приёмки выполненных работ.</w:t>
      </w:r>
    </w:p>
    <w:p w14:paraId="2AC22E85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  <w:t>7.2. Заказчик обязан в течение 1 рабочего дня с момента получения уведомления и Акта осмотреть результат Работ и, при отсутствии претензий, подписать Акт.</w:t>
      </w:r>
    </w:p>
    <w:p w14:paraId="102837A7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  <w:t>7.3. В случае обнаружения недостатков Заказчик обязан указать их в Акте или составить мотивированный отказ от подписания Акта, с перечнем выявленных недостатков и сроков их устранения. Подрядчик обязан устранить выявленные недостатки в согласованный срок.</w:t>
      </w:r>
    </w:p>
    <w:p w14:paraId="6D444B7F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  <w:t>7.4. Если Заказчик не подписывает Акт и не предоставляет мотивированный отказ в течение срока, указанного в п. 7.2, Работы считаются принятыми Заказчиком в полном объёме и без претензий.</w:t>
      </w:r>
    </w:p>
    <w:p w14:paraId="0C564100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</w:pPr>
    </w:p>
    <w:p w14:paraId="67B05884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8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. Разрешение споров</w:t>
      </w:r>
    </w:p>
    <w:p w14:paraId="0C6697F5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8.1. Все уведомления и сообщения по настоящему Договору должны направляться в письменной форме по адресам, указанным в разделе 9 настоящего Договора, или по указанным телефонам/адресам электронной почты с последующим письменным подтверждением.</w:t>
      </w:r>
    </w:p>
    <w:p w14:paraId="27DB3882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8.2. 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5C302E1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8.3. Настоящий Договор составлен в двух экземплярах, имеющих равную юридическую силу, по одному для каждой из Сторон.</w:t>
      </w:r>
    </w:p>
    <w:p w14:paraId="1832ED4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8.4. Все приложения и дополнительные соглашения к настоящему Договору являются его неотъемлемой частью.</w:t>
      </w:r>
    </w:p>
    <w:p w14:paraId="039357D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8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. Все споры и разногласия, возникающие между Сторонами по настоящему Договору или в связи с ним, разрешаются путём переговоров.</w:t>
      </w:r>
    </w:p>
    <w:p w14:paraId="7BB32D35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8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. В случае невозможности разрешения споров путём переговоров, они подлежат рассмотрению в судебном порядке в соответствии с действующим законодательством Российской Федерации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по месту нахождения Исполнителя.</w:t>
      </w:r>
    </w:p>
    <w:p w14:paraId="1E031BC4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</w:p>
    <w:p w14:paraId="0C6F99D4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Статья X. Особенности эксплуатации и гарантийные обязательства в отношении герметичности колодцев</w:t>
      </w:r>
    </w:p>
    <w:p w14:paraId="5DA067D8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</w:p>
    <w:p w14:paraId="118060BB">
      <w:pPr>
        <w:numPr>
          <w:ilvl w:val="0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Признание естественной усадки:</w:t>
      </w:r>
    </w:p>
    <w:p w14:paraId="42E9718B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Заказчик уведомлен и согласен с тем, что колодец, являясь инженерным сооружением, подвержен естественным геологическим процессам, в первую очередь — осадке грунта, интенсивность которой зависит от его физико-механических характеристик (типа грунта, уровня грунтовых вод и т.д.).</w:t>
      </w:r>
    </w:p>
    <w:p w14:paraId="47BF84E0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Влияние усадки на изоляцию: Подрядчик предупреждает, что в результате указанной естественной усадки в течение первого года эксплуатации (или до момента полной стабилизации грунта вокруг конструкции) возможно возникновение микротрещин, а также видимых нарушений целостности и герметичности межкольцевых швов и мест примыкания гидроизоляционных материалов. </w:t>
      </w:r>
    </w:p>
    <w:p w14:paraId="30F6876F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Нормативный характер явлений: Возникновение указанных в п. X.2 нарушений, проявляющихся в виде трещин или незначительного просачивания воды через швы, не признается гарантийным случаем, связанным с некачественным выполнением гидроизоляционных работ Подрядчиком, а рассматривается как неизбежное следствие подвижек грунта.</w:t>
      </w:r>
    </w:p>
    <w:p w14:paraId="1A12ECFB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Рекомендации по обслуживанию: Для обеспечения долгосрочной герметичности и устранения последствий естественной усадки, Подрядчик рекомендует Заказчику провести плановое техническое обслуживание колодца (включая инспекцию швов и, при необходимости, их повторную герметизацию) по истечении 12 (Двенадцати) месяцев с даты подписания Акта выполненных работ.</w:t>
      </w:r>
    </w:p>
    <w:p w14:paraId="2FE1176A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Гарантия на работы: Гарантия Подрядчика распространяется на дефекты, возникшие вследствие использования некачественных материалов или явных ошибок монтажа, не обусловленных подвижками грунта.</w:t>
      </w:r>
    </w:p>
    <w:p w14:paraId="54424FA5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</w:p>
    <w:p w14:paraId="1E06D384">
      <w:pPr>
        <w:numPr>
          <w:ilvl w:val="0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Ответственность за уровень грунтовых вод и сезонные колебания</w:t>
      </w:r>
    </w:p>
    <w:p w14:paraId="4B20FF15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Подрядчик гарантирует качество выполненных работ по строительству и гидроизоляции колодца в соответствии с проектными решениями и применимыми нормами. При этом Подрядчик не несёт никакой ответственности за фактический уровень грунтовых вод в месте расположения колодца.</w:t>
      </w:r>
    </w:p>
    <w:p w14:paraId="71CCEFAF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Заказчик признает и соглашается с тем, что уровень грунтовых вод является динамической природной характеристикой, которая подвержена значительным и непредсказуемым колебаниям, зависящим от:</w:t>
      </w:r>
    </w:p>
    <w:p w14:paraId="5AF89A9F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а) сезонных осадков (дождливые и засушливые периоды);</w:t>
      </w:r>
    </w:p>
    <w:p w14:paraId="44ADA6E9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б) климатических изменений;</w:t>
      </w:r>
    </w:p>
    <w:p w14:paraId="4E3C07AC">
      <w:pPr>
        <w:numPr>
          <w:ilvl w:val="0"/>
          <w:numId w:val="0"/>
        </w:num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в) локальных гидрологических факторов (например, откачка воды соседями, изменение ландшафта).</w:t>
      </w:r>
    </w:p>
    <w:p w14:paraId="665E64C5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Подрядчик не несет гарантийных обязательств и не несет ответственности за временное снижение или полное отсутствие воды в колодце в периоды засухи, а равно за превышение рабочего уровня воды в периоды обильных осадков, если это связано исключительно с естественными колебаниями уровня грунтовых вод.</w:t>
      </w:r>
    </w:p>
    <w:p w14:paraId="641C0BFF">
      <w:pPr>
        <w:numPr>
          <w:ilvl w:val="1"/>
          <w:numId w:val="2"/>
        </w:numPr>
        <w:shd w:val="clear" w:color="auto" w:fill="FFFFFF"/>
        <w:tabs>
          <w:tab w:val="left" w:pos="5940"/>
        </w:tabs>
        <w:spacing w:before="180"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Исключение из гарантии: Любые претензии Заказчика, связанные с изменением дебета (притока) или уровня воды, не являющиеся следствием прямого нарушения технологии монтажа, предусмотренной Договором, исключаются из сферы действия гарантийных обязательств Подрядчика.</w:t>
      </w:r>
    </w:p>
    <w:p w14:paraId="3C543C8B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5CA0420">
      <w:pPr>
        <w:shd w:val="clear" w:color="auto" w:fill="FFFFFF"/>
        <w:tabs>
          <w:tab w:val="left" w:pos="5940"/>
        </w:tabs>
        <w:spacing w:before="180" w:after="0" w:line="24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10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. Реквизиты и подписи Сторон:</w:t>
      </w:r>
    </w:p>
    <w:p w14:paraId="1C63193F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Подрядчик: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        Заказчик</w:t>
      </w:r>
    </w:p>
    <w:p w14:paraId="1A794B79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Индивидуальный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предприниматель                               </w:t>
      </w:r>
      <w:r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  <w:t>Гражданин</w:t>
      </w:r>
    </w:p>
    <w:p w14:paraId="56809EEE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Агишева Марьям Хайрулловна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       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________________________________</w:t>
      </w:r>
    </w:p>
    <w:p w14:paraId="4B3659C3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u w:val="none"/>
          <w:lang w:eastAsia="ru-RU"/>
        </w:rPr>
        <w:t>ОГРНИП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Паспорт: серия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</w:t>
      </w:r>
    </w:p>
    <w:p w14:paraId="3B9695D2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ИНН: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Выдан: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</w:t>
      </w:r>
    </w:p>
    <w:p w14:paraId="314FC28F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Банк: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 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Дата выдачи: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</w:t>
      </w:r>
    </w:p>
    <w:p w14:paraId="04850662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Адрес регистрации: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Адрес регистрации: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</w:t>
      </w:r>
    </w:p>
    <w:p w14:paraId="6623B98D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_______________________________</w:t>
      </w:r>
    </w:p>
    <w:p w14:paraId="698152FD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Телефон: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Телефон: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</w:t>
      </w:r>
    </w:p>
    <w:p w14:paraId="30CB63D0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  <w:t>Р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>/С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____________________________________</w:t>
      </w:r>
    </w:p>
    <w:p w14:paraId="2088110F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  <w:t>БИК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</w:t>
      </w:r>
    </w:p>
    <w:p w14:paraId="1DED5027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  <w:t>Корр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none"/>
          <w:lang w:val="en-US" w:eastAsia="ru-RU"/>
        </w:rPr>
        <w:t xml:space="preserve"> счет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val="en-US" w:eastAsia="ru-RU"/>
        </w:rPr>
        <w:t xml:space="preserve"> </w:t>
      </w:r>
    </w:p>
    <w:p w14:paraId="6350F53C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</w:pPr>
    </w:p>
    <w:p w14:paraId="15DFFD16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00000033">
      <w:pPr>
        <w:shd w:val="clear" w:color="auto" w:fill="FFFFFF"/>
        <w:tabs>
          <w:tab w:val="left" w:pos="5940"/>
        </w:tabs>
        <w:spacing w:before="180" w:after="0" w:line="240" w:lineRule="auto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Агишева М.Х.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(Подпись)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              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highlight w:val="yellow"/>
          <w:lang w:eastAsia="ru-RU"/>
        </w:rPr>
        <w:t>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(Подпись)</w:t>
      </w:r>
    </w:p>
    <w:sectPr>
      <w:pgSz w:w="11906" w:h="16838"/>
      <w:pgMar w:top="720" w:right="720" w:bottom="720" w:left="1701" w:header="709" w:footer="709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46E42"/>
    <w:multiLevelType w:val="multilevel"/>
    <w:tmpl w:val="2D946E42"/>
    <w:lvl w:ilvl="0" w:tentative="0">
      <w:start w:val="9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7D3240EE"/>
    <w:multiLevelType w:val="singleLevel"/>
    <w:tmpl w:val="7D3240E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6D2"/>
    <w:rsid w:val="00003D48"/>
    <w:rsid w:val="00046719"/>
    <w:rsid w:val="000D06D2"/>
    <w:rsid w:val="00234D8F"/>
    <w:rsid w:val="003178FB"/>
    <w:rsid w:val="00352573"/>
    <w:rsid w:val="00366E6F"/>
    <w:rsid w:val="004C51E4"/>
    <w:rsid w:val="00694861"/>
    <w:rsid w:val="00795A48"/>
    <w:rsid w:val="008E72D1"/>
    <w:rsid w:val="00A85DCE"/>
    <w:rsid w:val="00BA0947"/>
    <w:rsid w:val="00C53554"/>
    <w:rsid w:val="00E03C3C"/>
    <w:rsid w:val="00F86E76"/>
    <w:rsid w:val="00FF0449"/>
    <w:rsid w:val="0BA217B2"/>
    <w:rsid w:val="11326431"/>
    <w:rsid w:val="14A56B7B"/>
    <w:rsid w:val="31481E6B"/>
    <w:rsid w:val="34C770FE"/>
    <w:rsid w:val="3D927D55"/>
    <w:rsid w:val="484525AD"/>
    <w:rsid w:val="508078E0"/>
    <w:rsid w:val="576666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99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link w:val="30"/>
    <w:qFormat/>
    <w:uiPriority w:val="9"/>
    <w:pPr>
      <w:keepNext/>
      <w:keepLines/>
      <w:spacing w:before="480" w:after="0" w:line="259" w:lineRule="auto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  <w:lang w:val="ru-RU" w:eastAsia="en-US" w:bidi="ar-SA"/>
    </w:rPr>
  </w:style>
  <w:style w:type="paragraph" w:styleId="3">
    <w:name w:val="heading 2"/>
    <w:link w:val="31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ru-RU" w:eastAsia="en-US" w:bidi="ar-SA"/>
      <w14:textFill>
        <w14:solidFill>
          <w14:schemeClr w14:val="accent1"/>
        </w14:solidFill>
      </w14:textFill>
    </w:rPr>
  </w:style>
  <w:style w:type="paragraph" w:styleId="4">
    <w:name w:val="heading 3"/>
    <w:link w:val="32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b/>
      <w:bCs/>
      <w:color w:val="5B9BD5" w:themeColor="accent1"/>
      <w:sz w:val="22"/>
      <w:szCs w:val="22"/>
      <w:lang w:val="ru-RU" w:eastAsia="en-US" w:bidi="ar-SA"/>
      <w14:textFill>
        <w14:solidFill>
          <w14:schemeClr w14:val="accent1"/>
        </w14:solidFill>
      </w14:textFill>
    </w:rPr>
  </w:style>
  <w:style w:type="paragraph" w:styleId="5">
    <w:name w:val="heading 4"/>
    <w:link w:val="33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b/>
      <w:bCs/>
      <w:i/>
      <w:iCs/>
      <w:color w:val="5B9BD5" w:themeColor="accent1"/>
      <w:sz w:val="22"/>
      <w:szCs w:val="22"/>
      <w:lang w:val="ru-RU" w:eastAsia="en-US" w:bidi="ar-SA"/>
      <w14:textFill>
        <w14:solidFill>
          <w14:schemeClr w14:val="accent1"/>
        </w14:solidFill>
      </w14:textFill>
    </w:rPr>
  </w:style>
  <w:style w:type="paragraph" w:styleId="6">
    <w:name w:val="heading 5"/>
    <w:link w:val="34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color w:val="1F4E79" w:themeColor="accent1" w:themeShade="80"/>
      <w:sz w:val="22"/>
      <w:szCs w:val="22"/>
      <w:lang w:val="ru-RU" w:eastAsia="en-US" w:bidi="ar-SA"/>
    </w:rPr>
  </w:style>
  <w:style w:type="paragraph" w:styleId="7">
    <w:name w:val="heading 6"/>
    <w:link w:val="35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i/>
      <w:iCs/>
      <w:color w:val="1F4E79" w:themeColor="accent1" w:themeShade="80"/>
      <w:sz w:val="22"/>
      <w:szCs w:val="22"/>
      <w:lang w:val="ru-RU" w:eastAsia="en-US" w:bidi="ar-SA"/>
    </w:rPr>
  </w:style>
  <w:style w:type="paragraph" w:styleId="8">
    <w:name w:val="heading 7"/>
    <w:link w:val="36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ru-RU" w:eastAsia="en-US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link w:val="37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ru-RU" w:eastAsia="en-US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link w:val="38"/>
    <w:semiHidden/>
    <w:unhideWhenUsed/>
    <w:qFormat/>
    <w:uiPriority w:val="9"/>
    <w:pPr>
      <w:keepNext/>
      <w:keepLines/>
      <w:spacing w:before="200" w:after="0" w:line="259" w:lineRule="auto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ru-RU" w:eastAsia="en-US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Emphasis"/>
    <w:qFormat/>
    <w:uiPriority w:val="20"/>
    <w:rPr>
      <w:i/>
      <w:iCs/>
    </w:rPr>
  </w:style>
  <w:style w:type="character" w:styleId="17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Strong"/>
    <w:qFormat/>
    <w:uiPriority w:val="22"/>
    <w:rPr>
      <w:b/>
      <w:bCs/>
    </w:rPr>
  </w:style>
  <w:style w:type="paragraph" w:styleId="19">
    <w:name w:val="Plain Text"/>
    <w:link w:val="52"/>
    <w:semiHidden/>
    <w:unhideWhenUsed/>
    <w:qFormat/>
    <w:uiPriority w:val="99"/>
    <w:pPr>
      <w:spacing w:after="0" w:line="240" w:lineRule="auto"/>
    </w:pPr>
    <w:rPr>
      <w:rFonts w:ascii="Courier New" w:hAnsi="Courier New" w:cs="Courier New" w:eastAsiaTheme="minorHAnsi"/>
      <w:sz w:val="21"/>
      <w:szCs w:val="21"/>
      <w:lang w:val="ru-RU" w:eastAsia="en-US" w:bidi="ar-SA"/>
    </w:rPr>
  </w:style>
  <w:style w:type="paragraph" w:styleId="20">
    <w:name w:val="endnote text"/>
    <w:link w:val="51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0"/>
      <w:szCs w:val="20"/>
      <w:lang w:val="ru-RU" w:eastAsia="en-US" w:bidi="ar-SA"/>
    </w:rPr>
  </w:style>
  <w:style w:type="paragraph" w:styleId="21">
    <w:name w:val="caption"/>
    <w:unhideWhenUsed/>
    <w:qFormat/>
    <w:uiPriority w:val="35"/>
    <w:pPr>
      <w:spacing w:after="200" w:line="240" w:lineRule="auto"/>
    </w:pPr>
    <w:rPr>
      <w:rFonts w:asciiTheme="minorHAnsi" w:hAnsiTheme="minorHAnsi" w:eastAsiaTheme="minorHAnsi" w:cstheme="minorBidi"/>
      <w:i/>
      <w:iCs/>
      <w:color w:val="44546A" w:themeColor="text2"/>
      <w:sz w:val="18"/>
      <w:szCs w:val="18"/>
      <w:lang w:val="ru-RU" w:eastAsia="en-US" w:bidi="ar-SA"/>
      <w14:textFill>
        <w14:solidFill>
          <w14:schemeClr w14:val="tx2"/>
        </w14:solidFill>
      </w14:textFill>
    </w:rPr>
  </w:style>
  <w:style w:type="paragraph" w:styleId="22">
    <w:name w:val="footnote text"/>
    <w:link w:val="50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0"/>
      <w:szCs w:val="20"/>
      <w:lang w:val="ru-RU" w:eastAsia="en-US" w:bidi="ar-SA"/>
    </w:rPr>
  </w:style>
  <w:style w:type="paragraph" w:styleId="23">
    <w:name w:val="header"/>
    <w:link w:val="53"/>
    <w:unhideWhenUsed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4">
    <w:name w:val="Title"/>
    <w:link w:val="39"/>
    <w:qFormat/>
    <w:uiPriority w:val="10"/>
    <w:pPr>
      <w:pBdr>
        <w:bottom w:val="single" w:color="5B9BD5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  <w:lang w:val="ru-RU" w:eastAsia="en-US" w:bidi="ar-SA"/>
    </w:rPr>
  </w:style>
  <w:style w:type="paragraph" w:styleId="25">
    <w:name w:val="footer"/>
    <w:link w:val="54"/>
    <w:unhideWhenUsed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6">
    <w:name w:val="Normal (Web)"/>
    <w:basedOn w:val="1"/>
    <w:semiHidden/>
    <w:unhideWhenUsed/>
    <w:qFormat/>
    <w:uiPriority w:val="99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7">
    <w:name w:val="Subtitle"/>
    <w:link w:val="40"/>
    <w:qFormat/>
    <w:uiPriority w:val="11"/>
    <w:pPr>
      <w:spacing w:after="160" w:line="259" w:lineRule="auto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val="ru-RU" w:eastAsia="en-US" w:bidi="ar-SA"/>
      <w14:textFill>
        <w14:solidFill>
          <w14:schemeClr w14:val="accent1"/>
        </w14:solidFill>
      </w14:textFill>
    </w:rPr>
  </w:style>
  <w:style w:type="paragraph" w:styleId="28">
    <w:name w:val="HTML Preformatted"/>
    <w:basedOn w:val="1"/>
    <w:link w:val="57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firstLine="0"/>
    </w:pPr>
    <w:rPr>
      <w:rFonts w:ascii="Courier New" w:hAnsi="Courier New" w:cs="Courier New"/>
      <w:position w:val="0"/>
      <w:sz w:val="20"/>
      <w:szCs w:val="20"/>
    </w:rPr>
  </w:style>
  <w:style w:type="paragraph" w:styleId="2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30">
    <w:name w:val="Heading 1 Char"/>
    <w:link w:val="2"/>
    <w:qFormat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31">
    <w:name w:val="Heading 2 Char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2">
    <w:name w:val="Heading 3 Char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3">
    <w:name w:val="Heading 4 Char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4">
    <w:name w:val="Heading 5 Char"/>
    <w:link w:val="6"/>
    <w:qFormat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35">
    <w:name w:val="Heading 6 Char"/>
    <w:link w:val="7"/>
    <w:qFormat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36">
    <w:name w:val="Heading 7 Char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Heading 8 Char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Heading 9 Char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Title Char"/>
    <w:link w:val="24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40">
    <w:name w:val="Subtitle Char"/>
    <w:link w:val="27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41">
    <w:name w:val="Subtle Emphasis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2">
    <w:name w:val="Intense Emphasis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43">
    <w:name w:val="Quote"/>
    <w:link w:val="44"/>
    <w:qFormat/>
    <w:uiPriority w:val="29"/>
    <w:pPr>
      <w:spacing w:after="160" w:line="259" w:lineRule="auto"/>
    </w:pPr>
    <w:rPr>
      <w:rFonts w:asciiTheme="minorHAnsi" w:hAnsiTheme="minorHAnsi" w:eastAsiaTheme="minorHAnsi" w:cstheme="minorBidi"/>
      <w:i/>
      <w:iCs/>
      <w:color w:val="000000" w:themeColor="text1"/>
      <w:sz w:val="22"/>
      <w:szCs w:val="22"/>
      <w:lang w:val="ru-RU" w:eastAsia="en-US" w:bidi="ar-SA"/>
      <w14:textFill>
        <w14:solidFill>
          <w14:schemeClr w14:val="tx1"/>
        </w14:solidFill>
      </w14:textFill>
    </w:rPr>
  </w:style>
  <w:style w:type="character" w:customStyle="1" w:styleId="44">
    <w:name w:val="Quote Char"/>
    <w:link w:val="4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5">
    <w:name w:val="Intense Quote"/>
    <w:link w:val="46"/>
    <w:qFormat/>
    <w:uiPriority w:val="30"/>
    <w:pPr>
      <w:pBdr>
        <w:bottom w:val="single" w:color="5B9BD5" w:themeColor="accent1" w:sz="4" w:space="4"/>
      </w:pBdr>
      <w:spacing w:before="200" w:after="280" w:line="259" w:lineRule="auto"/>
      <w:ind w:left="936" w:right="936"/>
    </w:pPr>
    <w:rPr>
      <w:rFonts w:asciiTheme="minorHAnsi" w:hAnsiTheme="minorHAnsi" w:eastAsiaTheme="minorHAnsi" w:cstheme="minorBidi"/>
      <w:b/>
      <w:bCs/>
      <w:i/>
      <w:iCs/>
      <w:color w:val="5B9BD5" w:themeColor="accent1"/>
      <w:sz w:val="22"/>
      <w:szCs w:val="22"/>
      <w:lang w:val="ru-RU" w:eastAsia="en-US" w:bidi="ar-SA"/>
      <w14:textFill>
        <w14:solidFill>
          <w14:schemeClr w14:val="accent1"/>
        </w14:solidFill>
      </w14:textFill>
    </w:rPr>
  </w:style>
  <w:style w:type="character" w:customStyle="1" w:styleId="46">
    <w:name w:val="Intense Quote Char"/>
    <w:link w:val="45"/>
    <w:qFormat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7">
    <w:name w:val="Subtle Reference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8">
    <w:name w:val="Intense Reference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9">
    <w:name w:val="Book Title"/>
    <w:qFormat/>
    <w:uiPriority w:val="33"/>
    <w:rPr>
      <w:b/>
      <w:bCs/>
      <w:smallCaps/>
      <w:spacing w:val="5"/>
    </w:rPr>
  </w:style>
  <w:style w:type="character" w:customStyle="1" w:styleId="50">
    <w:name w:val="Footnote Text Char"/>
    <w:link w:val="22"/>
    <w:semiHidden/>
    <w:qFormat/>
    <w:uiPriority w:val="99"/>
    <w:rPr>
      <w:sz w:val="20"/>
      <w:szCs w:val="20"/>
    </w:rPr>
  </w:style>
  <w:style w:type="character" w:customStyle="1" w:styleId="51">
    <w:name w:val="Endnote Text Char"/>
    <w:link w:val="20"/>
    <w:semiHidden/>
    <w:qFormat/>
    <w:uiPriority w:val="99"/>
    <w:rPr>
      <w:sz w:val="20"/>
      <w:szCs w:val="20"/>
    </w:rPr>
  </w:style>
  <w:style w:type="character" w:customStyle="1" w:styleId="52">
    <w:name w:val="Plain Text Char"/>
    <w:link w:val="19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3">
    <w:name w:val="Header Char"/>
    <w:link w:val="23"/>
    <w:qFormat/>
    <w:uiPriority w:val="99"/>
  </w:style>
  <w:style w:type="character" w:customStyle="1" w:styleId="54">
    <w:name w:val="Footer Char"/>
    <w:link w:val="25"/>
    <w:qFormat/>
    <w:uiPriority w:val="99"/>
  </w:style>
  <w:style w:type="paragraph" w:customStyle="1" w:styleId="55">
    <w:name w:val="Paragraph"/>
    <w:basedOn w:val="1"/>
    <w:qFormat/>
    <w:uiPriority w:val="99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6">
    <w:name w:val="List Paragraph"/>
    <w:basedOn w:val="1"/>
    <w:qFormat/>
    <w:uiPriority w:val="34"/>
    <w:pPr>
      <w:ind w:left="720"/>
      <w:contextualSpacing/>
    </w:pPr>
  </w:style>
  <w:style w:type="character" w:customStyle="1" w:styleId="57">
    <w:name w:val="Стандартный HTML Знак"/>
    <w:basedOn w:val="11"/>
    <w:link w:val="28"/>
    <w:qFormat/>
    <w:uiPriority w:val="99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F8A70-FD5D-4BAF-A06D-AD51934481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Южная ж.д.</Company>
  <Pages>6</Pages>
  <Words>580</Words>
  <Characters>3308</Characters>
  <Lines>27</Lines>
  <Paragraphs>7</Paragraphs>
  <TotalTime>44</TotalTime>
  <ScaleCrop>false</ScaleCrop>
  <LinksUpToDate>false</LinksUpToDate>
  <CharactersWithSpaces>3881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2025-09-26T08:00:00Z</dcterms:created>
  <dc:creator>Артем Артем</dc:creator>
  <cp:lastModifiedBy>Ромаз</cp:lastModifiedBy>
  <dcterms:modified xsi:type="dcterms:W3CDTF">2025-09-27T19:45:07Z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FC31E72DCDAD4AF3AAF4EDEAEAFD2898_13</vt:lpwstr>
  </property>
</Properties>
</file>